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BF8" w:rsidRDefault="00B34BF8" w:rsidP="00B34BF8">
      <w:pPr>
        <w:pStyle w:val="NormalWeb"/>
        <w:shd w:val="clear" w:color="auto" w:fill="E6E6E6"/>
        <w:spacing w:before="0" w:beforeAutospacing="0" w:after="240" w:afterAutospacing="0" w:line="480" w:lineRule="atLeast"/>
        <w:rPr>
          <w:color w:val="111111"/>
        </w:rPr>
      </w:pPr>
      <w:r>
        <w:rPr>
          <w:rFonts w:ascii="Arial" w:hAnsi="Arial" w:cs="Arial"/>
          <w:b/>
          <w:bCs/>
          <w:color w:val="111111"/>
        </w:rPr>
        <w:t>Objectives:</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 xml:space="preserve">This paper examines the </w:t>
      </w:r>
      <w:bookmarkStart w:id="0" w:name="_GoBack"/>
      <w:r>
        <w:rPr>
          <w:color w:val="111111"/>
        </w:rPr>
        <w:t xml:space="preserve">social determinants of health </w:t>
      </w:r>
      <w:bookmarkEnd w:id="0"/>
      <w:r>
        <w:rPr>
          <w:color w:val="111111"/>
        </w:rPr>
        <w:t>and how it can give rise to health disparities. In the United States health care system such social determinants are race /ethnicity education, income, poverty, area deprivation, unemployment, and geographic location. Some theories of health promotion, behavioral change and the levels at which they operate is discussed including the ethical and health policy implications of public health interventions.</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 </w:t>
      </w:r>
    </w:p>
    <w:p w:rsidR="00B34BF8" w:rsidRDefault="00B34BF8" w:rsidP="00B34BF8">
      <w:pPr>
        <w:pStyle w:val="NormalWeb"/>
        <w:shd w:val="clear" w:color="auto" w:fill="E6E6E6"/>
        <w:spacing w:before="0" w:beforeAutospacing="0" w:after="240" w:afterAutospacing="0" w:line="480" w:lineRule="atLeast"/>
        <w:rPr>
          <w:color w:val="111111"/>
        </w:rPr>
      </w:pPr>
      <w:r>
        <w:rPr>
          <w:rFonts w:ascii="Arial" w:hAnsi="Arial" w:cs="Arial"/>
          <w:b/>
          <w:bCs/>
          <w:color w:val="111111"/>
        </w:rPr>
        <w:t>Theoretical and Research Perspective</w:t>
      </w:r>
      <w:r>
        <w:rPr>
          <w:color w:val="111111"/>
        </w:rPr>
        <w:t>:</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 Health models operate at the intra personal, inter personal and population levels.</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 xml:space="preserve">At the intra personal level, the health believe model, theory of planned behavior and stages of change theory operate at this level. At the interpersonal levels, the Social Cognitive, social network and social support theory operate at this level.   The population level </w:t>
      </w:r>
      <w:proofErr w:type="gramStart"/>
      <w:r>
        <w:rPr>
          <w:color w:val="111111"/>
        </w:rPr>
        <w:t>includes,   </w:t>
      </w:r>
      <w:proofErr w:type="gramEnd"/>
      <w:r>
        <w:rPr>
          <w:color w:val="111111"/>
        </w:rPr>
        <w:t xml:space="preserve"> communication theory, diffusion of innovations model and community mobilization.</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The Health believes model originated in the 1950s.  It projects that an individual’s behavioral change results from personal evaluation of several constructs. The individual decides if he or she is susceptible and weighs the severity of the disease, the benefits of actions to change versus the barrier to change. If benefits outweigh barriers, the individual will embrace change.</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Theory of planned behavior is stemmed from the theory of reasoned action. It projects that an individual’s attitude, subjective norm, perceived behavioral control, intention, and behavior are all constructs towards intention to change behavior (Brown et al, 2019).</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 xml:space="preserve">In the 1980s, the trans theoretical model was developed and it proposed that behavioral change is a process. It spans through the pre-contemplation, contemplation, preparation, action to maintenance. Theories that operate at the interpersonal level, focuses on individuals and the </w:t>
      </w:r>
      <w:r>
        <w:rPr>
          <w:color w:val="111111"/>
        </w:rPr>
        <w:lastRenderedPageBreak/>
        <w:t>interaction with their social environment. The social cognitive theory proposed that an individual’s behavior is determined by personal, environmental and behavioral factors. The social network theory refers to social ties influencing health through social influence, social engagements, social support person to person contact and access to resources and material goods. Social support theory refers to the physical and emotional comfort given to us by family friends and co-workers (</w:t>
      </w:r>
      <w:proofErr w:type="spellStart"/>
      <w:r>
        <w:rPr>
          <w:color w:val="111111"/>
        </w:rPr>
        <w:t>Negussie</w:t>
      </w:r>
      <w:proofErr w:type="spellEnd"/>
      <w:r>
        <w:rPr>
          <w:color w:val="111111"/>
        </w:rPr>
        <w:t xml:space="preserve"> et al, 2018).</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The communication theory focuses on message production and media effects while the community mobilization theories focused on developing community wide interventions in order to address health, social or environmental issues.</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 </w:t>
      </w:r>
    </w:p>
    <w:p w:rsidR="00B34BF8" w:rsidRDefault="00B34BF8" w:rsidP="00B34BF8">
      <w:pPr>
        <w:pStyle w:val="NormalWeb"/>
        <w:shd w:val="clear" w:color="auto" w:fill="E6E6E6"/>
        <w:spacing w:before="0" w:beforeAutospacing="0" w:after="240" w:afterAutospacing="0" w:line="480" w:lineRule="atLeast"/>
        <w:rPr>
          <w:color w:val="111111"/>
        </w:rPr>
      </w:pPr>
      <w:r>
        <w:rPr>
          <w:rFonts w:ascii="Arial" w:hAnsi="Arial" w:cs="Arial"/>
          <w:b/>
          <w:bCs/>
          <w:color w:val="111111"/>
        </w:rPr>
        <w:t>Epidemiology:</w:t>
      </w:r>
    </w:p>
    <w:p w:rsidR="00B34BF8" w:rsidRDefault="00B34BF8" w:rsidP="00B34BF8">
      <w:pPr>
        <w:pStyle w:val="NormalWeb"/>
        <w:shd w:val="clear" w:color="auto" w:fill="E6E6E6"/>
        <w:spacing w:before="0" w:beforeAutospacing="0" w:after="0" w:afterAutospacing="0" w:line="480" w:lineRule="atLeast"/>
        <w:rPr>
          <w:color w:val="111111"/>
        </w:rPr>
      </w:pPr>
      <w:r>
        <w:rPr>
          <w:rFonts w:ascii="inherit" w:hAnsi="inherit"/>
          <w:color w:val="111111"/>
          <w:bdr w:val="none" w:sz="0" w:space="0" w:color="auto" w:frame="1"/>
          <w:shd w:val="clear" w:color="auto" w:fill="FFFFFF"/>
        </w:rPr>
        <w:t>Health disparities exist by region, ethnicity, socio-economic status, gender, </w:t>
      </w:r>
      <w:r>
        <w:rPr>
          <w:rFonts w:ascii="inherit" w:hAnsi="inherit"/>
          <w:color w:val="000000"/>
          <w:bdr w:val="none" w:sz="0" w:space="0" w:color="auto" w:frame="1"/>
          <w:shd w:val="clear" w:color="auto" w:fill="FFFFFF"/>
        </w:rPr>
        <w:t>sexual orientation and gender identity, disability status,</w:t>
      </w:r>
      <w:r>
        <w:rPr>
          <w:rStyle w:val="Strong"/>
          <w:rFonts w:ascii="inherit" w:hAnsi="inherit"/>
          <w:color w:val="000000"/>
          <w:bdr w:val="none" w:sz="0" w:space="0" w:color="auto" w:frame="1"/>
          <w:shd w:val="clear" w:color="auto" w:fill="FFFFFF"/>
        </w:rPr>
        <w:t> </w:t>
      </w:r>
      <w:r>
        <w:rPr>
          <w:rFonts w:ascii="inherit" w:hAnsi="inherit"/>
          <w:color w:val="111111"/>
          <w:bdr w:val="none" w:sz="0" w:space="0" w:color="auto" w:frame="1"/>
          <w:shd w:val="clear" w:color="auto" w:fill="FFFFFF"/>
        </w:rPr>
        <w:t>and in access to health care. Social class inequalities persist at every age and for all the major diseases (CDC, 2017).</w:t>
      </w:r>
    </w:p>
    <w:p w:rsidR="00B34BF8" w:rsidRDefault="00B34BF8" w:rsidP="00B34BF8">
      <w:pPr>
        <w:pStyle w:val="NormalWeb"/>
        <w:shd w:val="clear" w:color="auto" w:fill="E6E6E6"/>
        <w:spacing w:before="0" w:beforeAutospacing="0" w:after="240" w:afterAutospacing="0" w:line="480" w:lineRule="atLeast"/>
        <w:rPr>
          <w:color w:val="111111"/>
        </w:rPr>
      </w:pPr>
      <w:r>
        <w:rPr>
          <w:rFonts w:ascii="Arial" w:hAnsi="Arial" w:cs="Arial"/>
          <w:b/>
          <w:bCs/>
          <w:color w:val="111111"/>
        </w:rPr>
        <w:t>At Risk Population</w:t>
      </w:r>
    </w:p>
    <w:p w:rsidR="00B34BF8" w:rsidRDefault="00B34BF8" w:rsidP="00B34BF8">
      <w:pPr>
        <w:pStyle w:val="NormalWeb"/>
        <w:shd w:val="clear" w:color="auto" w:fill="E6E6E6"/>
        <w:spacing w:before="0" w:beforeAutospacing="0" w:after="240" w:afterAutospacing="0" w:line="480" w:lineRule="atLeast"/>
        <w:rPr>
          <w:color w:val="111111"/>
        </w:rPr>
      </w:pPr>
      <w:r>
        <w:rPr>
          <w:color w:val="111111"/>
        </w:rPr>
        <w:t>Certain groups of people are at risk of health inequities. These include:  Racial and ethnic minorities, low income earners, poorly educated, individuals living without partners, individuals in poor living conditions, the aged, pregnant women and people living with disabilities and cognitive abilities (CDC, 2017).</w:t>
      </w:r>
    </w:p>
    <w:p w:rsidR="00B34BF8" w:rsidRDefault="00B34BF8" w:rsidP="00B34BF8">
      <w:pPr>
        <w:pStyle w:val="NormalWeb"/>
        <w:shd w:val="clear" w:color="auto" w:fill="E6E6E6"/>
        <w:spacing w:before="0" w:beforeAutospacing="0" w:after="0" w:afterAutospacing="0" w:line="440" w:lineRule="atLeast"/>
        <w:rPr>
          <w:rFonts w:ascii="Calibri" w:hAnsi="Calibri" w:cs="Calibri"/>
          <w:color w:val="111111"/>
          <w:sz w:val="22"/>
          <w:szCs w:val="22"/>
        </w:rPr>
      </w:pPr>
      <w:r>
        <w:rPr>
          <w:rStyle w:val="Strong"/>
          <w:rFonts w:ascii="inherit" w:hAnsi="inherit" w:cs="Calibri"/>
          <w:b w:val="0"/>
          <w:bCs w:val="0"/>
          <w:color w:val="111111"/>
          <w:bdr w:val="none" w:sz="0" w:space="0" w:color="auto" w:frame="1"/>
        </w:rPr>
        <w:t> </w:t>
      </w:r>
    </w:p>
    <w:p w:rsidR="00B34BF8" w:rsidRDefault="00B34BF8" w:rsidP="00B34BF8">
      <w:pPr>
        <w:pStyle w:val="NormalWeb"/>
        <w:shd w:val="clear" w:color="auto" w:fill="E6E6E6"/>
        <w:spacing w:before="0" w:beforeAutospacing="0" w:after="240" w:afterAutospacing="0" w:line="480" w:lineRule="atLeast"/>
        <w:rPr>
          <w:color w:val="111111"/>
        </w:rPr>
      </w:pPr>
      <w:r>
        <w:rPr>
          <w:rFonts w:ascii="Arial" w:hAnsi="Arial" w:cs="Arial"/>
          <w:b/>
          <w:bCs/>
          <w:color w:val="111111"/>
        </w:rPr>
        <w:t>VI.       Legal, Ethical, and Health Policy Implications</w:t>
      </w:r>
    </w:p>
    <w:p w:rsidR="00B34BF8" w:rsidRDefault="00B34BF8" w:rsidP="00B34BF8">
      <w:pPr>
        <w:pStyle w:val="NormalWeb"/>
        <w:shd w:val="clear" w:color="auto" w:fill="E6E6E6"/>
        <w:spacing w:before="0" w:beforeAutospacing="0" w:after="0" w:afterAutospacing="0" w:line="480" w:lineRule="atLeast"/>
        <w:rPr>
          <w:color w:val="111111"/>
        </w:rPr>
      </w:pPr>
      <w:r>
        <w:rPr>
          <w:color w:val="111111"/>
        </w:rPr>
        <w:t>In the implementation of health promotion models, certain legal, ethical and health policy implications need to be considered.</w:t>
      </w:r>
      <w:r>
        <w:rPr>
          <w:rFonts w:ascii="Arial" w:hAnsi="Arial" w:cs="Arial"/>
          <w:b/>
          <w:bCs/>
          <w:color w:val="111111"/>
        </w:rPr>
        <w:t> </w:t>
      </w:r>
      <w:r>
        <w:rPr>
          <w:color w:val="111111"/>
        </w:rPr>
        <w:t xml:space="preserve">Health Policies are known to make impacts at the population </w:t>
      </w:r>
      <w:r>
        <w:rPr>
          <w:color w:val="111111"/>
        </w:rPr>
        <w:lastRenderedPageBreak/>
        <w:t xml:space="preserve">level. For </w:t>
      </w:r>
      <w:proofErr w:type="gramStart"/>
      <w:r>
        <w:rPr>
          <w:color w:val="111111"/>
        </w:rPr>
        <w:t>example</w:t>
      </w:r>
      <w:proofErr w:type="gramEnd"/>
      <w:r>
        <w:rPr>
          <w:color w:val="111111"/>
        </w:rPr>
        <w:t xml:space="preserve"> a health policy that allows for free health care services will create improved access to health. Prioritizing health in all policies will ensure that the gap in health disparities will be closed.</w:t>
      </w:r>
      <w:r>
        <w:rPr>
          <w:rStyle w:val="tr"/>
          <w:rFonts w:ascii="inherit" w:hAnsi="inherit"/>
          <w:color w:val="111111"/>
          <w:bdr w:val="none" w:sz="0" w:space="0" w:color="auto" w:frame="1"/>
          <w:shd w:val="clear" w:color="auto" w:fill="FFFFFF"/>
        </w:rPr>
        <w:t> Partnering with community improves understanding and may help protect subjects. Communities can help take up ownership of their own health and disseminate findings which will ultimately improve the health indices of the community. In all health interventions, benefits are maximized while minimizing risks. Fair sharing of risks and benefits among groups are encouraged hence one cannot exclude a group from an intervention with potential benefits.</w:t>
      </w:r>
    </w:p>
    <w:p w:rsidR="00B34BF8" w:rsidRDefault="00B34BF8" w:rsidP="00B34BF8">
      <w:pPr>
        <w:pStyle w:val="NormalWeb"/>
        <w:shd w:val="clear" w:color="auto" w:fill="E6E6E6"/>
        <w:spacing w:before="0" w:beforeAutospacing="0" w:after="0" w:afterAutospacing="0" w:line="440" w:lineRule="atLeast"/>
        <w:rPr>
          <w:rFonts w:ascii="Calibri" w:hAnsi="Calibri" w:cs="Calibri"/>
          <w:color w:val="111111"/>
          <w:sz w:val="22"/>
          <w:szCs w:val="22"/>
        </w:rPr>
      </w:pPr>
      <w:r>
        <w:rPr>
          <w:rFonts w:ascii="inherit" w:hAnsi="inherit" w:cs="Calibri"/>
          <w:color w:val="111111"/>
          <w:bdr w:val="none" w:sz="0" w:space="0" w:color="auto" w:frame="1"/>
          <w:shd w:val="clear" w:color="auto" w:fill="FFFFFF"/>
        </w:rPr>
        <w:t xml:space="preserve">Respect for Persons which takes into </w:t>
      </w:r>
      <w:proofErr w:type="spellStart"/>
      <w:r>
        <w:rPr>
          <w:rFonts w:ascii="inherit" w:hAnsi="inherit" w:cs="Calibri"/>
          <w:color w:val="111111"/>
          <w:bdr w:val="none" w:sz="0" w:space="0" w:color="auto" w:frame="1"/>
          <w:shd w:val="clear" w:color="auto" w:fill="FFFFFF"/>
        </w:rPr>
        <w:t>cognisance</w:t>
      </w:r>
      <w:proofErr w:type="spellEnd"/>
      <w:r>
        <w:rPr>
          <w:rFonts w:ascii="inherit" w:hAnsi="inherit" w:cs="Calibri"/>
          <w:color w:val="111111"/>
          <w:bdr w:val="none" w:sz="0" w:space="0" w:color="auto" w:frame="1"/>
          <w:shd w:val="clear" w:color="auto" w:fill="FFFFFF"/>
        </w:rPr>
        <w:t xml:space="preserve"> that </w:t>
      </w:r>
      <w:r>
        <w:rPr>
          <w:rStyle w:val="tr"/>
          <w:color w:val="111111"/>
          <w:bdr w:val="none" w:sz="0" w:space="0" w:color="auto" w:frame="1"/>
          <w:shd w:val="clear" w:color="auto" w:fill="FFFFFF"/>
        </w:rPr>
        <w:t xml:space="preserve">people are autonomous beings and the capacity of individuals to make their own decisions must be </w:t>
      </w:r>
      <w:proofErr w:type="spellStart"/>
      <w:r>
        <w:rPr>
          <w:rStyle w:val="tr"/>
          <w:color w:val="111111"/>
          <w:bdr w:val="none" w:sz="0" w:space="0" w:color="auto" w:frame="1"/>
          <w:shd w:val="clear" w:color="auto" w:fill="FFFFFF"/>
        </w:rPr>
        <w:t>honoured</w:t>
      </w:r>
      <w:proofErr w:type="spellEnd"/>
      <w:r>
        <w:rPr>
          <w:rStyle w:val="tr"/>
          <w:color w:val="111111"/>
          <w:bdr w:val="none" w:sz="0" w:space="0" w:color="auto" w:frame="1"/>
          <w:shd w:val="clear" w:color="auto" w:fill="FFFFFF"/>
        </w:rPr>
        <w:t xml:space="preserve">. Individuals must be informed throughout the interventions, by providing protection for vulnerable groups and people living with disabilities. In general, while carrying out public health interventions, honesty, full disclosure of risks and benefits, </w:t>
      </w:r>
      <w:proofErr w:type="spellStart"/>
      <w:r>
        <w:rPr>
          <w:rStyle w:val="tr"/>
          <w:color w:val="111111"/>
          <w:bdr w:val="none" w:sz="0" w:space="0" w:color="auto" w:frame="1"/>
          <w:shd w:val="clear" w:color="auto" w:fill="FFFFFF"/>
        </w:rPr>
        <w:t>non coercion</w:t>
      </w:r>
      <w:proofErr w:type="spellEnd"/>
      <w:r>
        <w:rPr>
          <w:rStyle w:val="tr"/>
          <w:color w:val="111111"/>
          <w:bdr w:val="none" w:sz="0" w:space="0" w:color="auto" w:frame="1"/>
          <w:shd w:val="clear" w:color="auto" w:fill="FFFFFF"/>
        </w:rPr>
        <w:t xml:space="preserve">, justice, fair sharing of risks and benefits among groups, beneficence, doing good while avoiding harm are key ethical considerations (Geller &amp; </w:t>
      </w:r>
      <w:proofErr w:type="spellStart"/>
      <w:r>
        <w:rPr>
          <w:rStyle w:val="tr"/>
          <w:color w:val="111111"/>
          <w:bdr w:val="none" w:sz="0" w:space="0" w:color="auto" w:frame="1"/>
          <w:shd w:val="clear" w:color="auto" w:fill="FFFFFF"/>
        </w:rPr>
        <w:t>Weistein</w:t>
      </w:r>
      <w:proofErr w:type="spellEnd"/>
      <w:r>
        <w:rPr>
          <w:rStyle w:val="tr"/>
          <w:color w:val="111111"/>
          <w:bdr w:val="none" w:sz="0" w:space="0" w:color="auto" w:frame="1"/>
          <w:shd w:val="clear" w:color="auto" w:fill="FFFFFF"/>
        </w:rPr>
        <w:t>, 2017).</w:t>
      </w:r>
    </w:p>
    <w:p w:rsidR="00B34BF8" w:rsidRDefault="00B34BF8" w:rsidP="00B34BF8">
      <w:pPr>
        <w:pStyle w:val="NormalWeb"/>
        <w:shd w:val="clear" w:color="auto" w:fill="E6E6E6"/>
        <w:spacing w:before="0" w:beforeAutospacing="0" w:after="240" w:afterAutospacing="0" w:line="480" w:lineRule="atLeast"/>
        <w:rPr>
          <w:color w:val="111111"/>
        </w:rPr>
      </w:pPr>
      <w:r>
        <w:rPr>
          <w:rFonts w:ascii="Arial" w:hAnsi="Arial" w:cs="Arial"/>
          <w:b/>
          <w:bCs/>
          <w:color w:val="111111"/>
        </w:rPr>
        <w:t>VII.     Conclusion:</w:t>
      </w:r>
    </w:p>
    <w:p w:rsidR="00B34BF8" w:rsidRDefault="00B34BF8" w:rsidP="00B34BF8">
      <w:pPr>
        <w:pStyle w:val="NormalWeb"/>
        <w:shd w:val="clear" w:color="auto" w:fill="E6E6E6"/>
        <w:spacing w:before="0" w:beforeAutospacing="0" w:after="240" w:afterAutospacing="0" w:line="480" w:lineRule="atLeast"/>
        <w:rPr>
          <w:color w:val="111111"/>
        </w:rPr>
      </w:pPr>
      <w:r>
        <w:rPr>
          <w:rFonts w:ascii="Arial" w:hAnsi="Arial" w:cs="Arial"/>
          <w:b/>
          <w:bCs/>
          <w:color w:val="111111"/>
        </w:rPr>
        <w:t>            </w:t>
      </w:r>
      <w:r>
        <w:rPr>
          <w:color w:val="111111"/>
        </w:rPr>
        <w:t>A remarkable disparity in different health outcomes shows the significance of social determinants in disease prevention and health promotion. Ultimately, addressing the social determinants of health is of great importance and will help improve health outcomes. Interventions at the population level in form of policies and advocacy, both at the family and individual levels are needed to ensure that the set goals are achieved. An approach that is multi-sectoral is needed to tackle the persistent and widening health care inequalities among Americans (</w:t>
      </w:r>
      <w:proofErr w:type="spellStart"/>
      <w:r>
        <w:rPr>
          <w:color w:val="111111"/>
        </w:rPr>
        <w:t>Shivayogi</w:t>
      </w:r>
      <w:proofErr w:type="spellEnd"/>
      <w:r>
        <w:rPr>
          <w:color w:val="111111"/>
        </w:rPr>
        <w:t>, 2017).</w:t>
      </w:r>
    </w:p>
    <w:p w:rsidR="00B34BF8" w:rsidRDefault="00B34BF8" w:rsidP="00B34BF8">
      <w:pPr>
        <w:pStyle w:val="NormalWeb"/>
        <w:shd w:val="clear" w:color="auto" w:fill="E6E6E6"/>
        <w:spacing w:before="0" w:beforeAutospacing="0" w:after="0" w:afterAutospacing="0" w:line="440" w:lineRule="atLeast"/>
        <w:rPr>
          <w:rFonts w:ascii="Calibri" w:hAnsi="Calibri" w:cs="Calibri"/>
          <w:color w:val="111111"/>
          <w:sz w:val="22"/>
          <w:szCs w:val="22"/>
        </w:rPr>
      </w:pPr>
      <w:r>
        <w:rPr>
          <w:rStyle w:val="Strong"/>
          <w:rFonts w:ascii="inherit" w:hAnsi="inherit" w:cs="Calibri"/>
          <w:b w:val="0"/>
          <w:bCs w:val="0"/>
          <w:color w:val="111111"/>
          <w:bdr w:val="none" w:sz="0" w:space="0" w:color="auto" w:frame="1"/>
          <w:shd w:val="clear" w:color="auto" w:fill="FFFFFF"/>
        </w:rPr>
        <w:t> </w:t>
      </w:r>
    </w:p>
    <w:p w:rsidR="00B34BF8" w:rsidRDefault="00B34BF8" w:rsidP="00B34BF8">
      <w:pPr>
        <w:pStyle w:val="NormalWeb"/>
        <w:shd w:val="clear" w:color="auto" w:fill="E6E6E6"/>
        <w:spacing w:before="0" w:beforeAutospacing="0" w:after="0" w:afterAutospacing="0" w:line="440" w:lineRule="atLeast"/>
        <w:rPr>
          <w:rFonts w:ascii="Calibri" w:hAnsi="Calibri" w:cs="Calibri"/>
          <w:color w:val="111111"/>
          <w:sz w:val="22"/>
          <w:szCs w:val="22"/>
        </w:rPr>
      </w:pPr>
      <w:r>
        <w:rPr>
          <w:rStyle w:val="Strong"/>
          <w:rFonts w:ascii="inherit" w:hAnsi="inherit" w:cs="Calibri"/>
          <w:color w:val="111111"/>
          <w:bdr w:val="none" w:sz="0" w:space="0" w:color="auto" w:frame="1"/>
          <w:shd w:val="clear" w:color="auto" w:fill="FFFFFF"/>
        </w:rPr>
        <w:t> </w:t>
      </w:r>
    </w:p>
    <w:p w:rsidR="007224D0" w:rsidRDefault="007224D0"/>
    <w:sectPr w:rsidR="00722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F8"/>
    <w:rsid w:val="007224D0"/>
    <w:rsid w:val="00B3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19E3F-8E15-4549-8225-CB8A3AB1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B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4BF8"/>
    <w:rPr>
      <w:b/>
      <w:bCs/>
    </w:rPr>
  </w:style>
  <w:style w:type="character" w:customStyle="1" w:styleId="tr">
    <w:name w:val="tr"/>
    <w:basedOn w:val="DefaultParagraphFont"/>
    <w:rsid w:val="00B3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Otuma</dc:creator>
  <cp:keywords/>
  <dc:description/>
  <cp:lastModifiedBy>Kathryn Otuma</cp:lastModifiedBy>
  <cp:revision>1</cp:revision>
  <dcterms:created xsi:type="dcterms:W3CDTF">2021-03-11T07:32:00Z</dcterms:created>
  <dcterms:modified xsi:type="dcterms:W3CDTF">2021-03-11T07:35:00Z</dcterms:modified>
</cp:coreProperties>
</file>